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41" w:rsidRPr="00A93036" w:rsidRDefault="00AC53F9">
      <w:pPr>
        <w:rPr>
          <w:b/>
          <w:sz w:val="28"/>
          <w:szCs w:val="28"/>
        </w:rPr>
      </w:pPr>
      <w:r w:rsidRPr="00A9303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C887AB7" wp14:editId="2AD8A2A9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793750" cy="104013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jpeg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CAE" w:rsidRPr="00A93036">
        <w:rPr>
          <w:b/>
          <w:sz w:val="28"/>
          <w:szCs w:val="28"/>
        </w:rPr>
        <w:t>American Rescue Plan Act of 2021</w:t>
      </w:r>
    </w:p>
    <w:p w:rsidR="00677CAE" w:rsidRPr="00A93036" w:rsidRDefault="00677CAE">
      <w:pPr>
        <w:rPr>
          <w:b/>
          <w:sz w:val="28"/>
          <w:szCs w:val="28"/>
        </w:rPr>
      </w:pPr>
      <w:r w:rsidRPr="00A93036">
        <w:rPr>
          <w:b/>
          <w:sz w:val="28"/>
          <w:szCs w:val="28"/>
        </w:rPr>
        <w:t>ECOS Summary</w:t>
      </w:r>
      <w:r w:rsidR="00B10DA1" w:rsidRPr="00A93036">
        <w:rPr>
          <w:b/>
          <w:sz w:val="28"/>
          <w:szCs w:val="28"/>
        </w:rPr>
        <w:t xml:space="preserve"> – March 2021</w:t>
      </w:r>
    </w:p>
    <w:p w:rsidR="00AC53F9" w:rsidRDefault="00AC53F9"/>
    <w:p w:rsidR="00B10DA1" w:rsidRDefault="00B10DA1"/>
    <w:p w:rsidR="00677CAE" w:rsidRDefault="00677CAE">
      <w:r>
        <w:t xml:space="preserve">The American Rescue Plan Act of 2021 </w:t>
      </w:r>
      <w:r w:rsidR="00B10DA1">
        <w:t>(“</w:t>
      </w:r>
      <w:r w:rsidR="00AB13C7">
        <w:t xml:space="preserve">The </w:t>
      </w:r>
      <w:r w:rsidR="00B10DA1">
        <w:t xml:space="preserve">Act”) </w:t>
      </w:r>
      <w:r>
        <w:t>was passed by the 117</w:t>
      </w:r>
      <w:r w:rsidRPr="00677CAE">
        <w:rPr>
          <w:vertAlign w:val="superscript"/>
        </w:rPr>
        <w:t>th</w:t>
      </w:r>
      <w:r>
        <w:t xml:space="preserve"> U.S. Congress and signed by President Biden on March 11</w:t>
      </w:r>
      <w:r w:rsidRPr="00677CAE">
        <w:rPr>
          <w:vertAlign w:val="superscript"/>
        </w:rPr>
        <w:t>th</w:t>
      </w:r>
      <w:r>
        <w:t xml:space="preserve">. The Act </w:t>
      </w:r>
      <w:r w:rsidR="0028587C">
        <w:t>provides</w:t>
      </w:r>
      <w:r>
        <w:t xml:space="preserve"> $1.</w:t>
      </w:r>
      <w:r w:rsidR="0028587C">
        <w:t>88</w:t>
      </w:r>
      <w:r>
        <w:t xml:space="preserve"> </w:t>
      </w:r>
      <w:r w:rsidR="00FD4D6B">
        <w:t>t</w:t>
      </w:r>
      <w:r w:rsidR="00FD4D6B">
        <w:t xml:space="preserve">rillion </w:t>
      </w:r>
      <w:r w:rsidR="0028587C">
        <w:t>in federal investments</w:t>
      </w:r>
      <w:r>
        <w:t xml:space="preserve"> for COVID-19 pandemic</w:t>
      </w:r>
      <w:r w:rsidR="00384967">
        <w:t xml:space="preserve"> relief and economic stimulus</w:t>
      </w:r>
      <w:r w:rsidR="00B10DA1">
        <w:t>, bringing the total of federal resources made available in COVID response legislation to $4.6T.</w:t>
      </w:r>
      <w:r w:rsidR="00AC53F9">
        <w:rPr>
          <w:rStyle w:val="FootnoteReference"/>
        </w:rPr>
        <w:footnoteReference w:id="1"/>
      </w:r>
      <w:r w:rsidR="00B10DA1">
        <w:t xml:space="preserve"> </w:t>
      </w:r>
      <w:r w:rsidR="00FD4D6B">
        <w:t xml:space="preserve">Three prominent features of the Act </w:t>
      </w:r>
      <w:r w:rsidR="00FD4D6B">
        <w:t>includ</w:t>
      </w:r>
      <w:r w:rsidR="00FD4D6B">
        <w:t>e</w:t>
      </w:r>
      <w:r w:rsidR="00FD4D6B">
        <w:t xml:space="preserve"> </w:t>
      </w:r>
      <w:r w:rsidR="00B10DA1">
        <w:t>an extension of expanded unemployment benefits, $1,400 direct payments to individuals, and $350B in aid to state and local governments</w:t>
      </w:r>
      <w:r w:rsidR="000201CD">
        <w:t>.</w:t>
      </w:r>
      <w:r w:rsidR="0028587C">
        <w:t xml:space="preserve"> ECOS has compiled the below summary of provisions </w:t>
      </w:r>
      <w:r w:rsidR="00B04196">
        <w:t>related to environmental protection and state government agencies</w:t>
      </w:r>
      <w:r w:rsidR="0028587C">
        <w:t xml:space="preserve">: </w:t>
      </w:r>
    </w:p>
    <w:p w:rsidR="00B10DA1" w:rsidRPr="00A93036" w:rsidRDefault="00B10DA1" w:rsidP="00B10DA1">
      <w:pPr>
        <w:rPr>
          <w:b/>
          <w:u w:val="single"/>
        </w:rPr>
      </w:pPr>
      <w:r w:rsidRPr="00A93036">
        <w:rPr>
          <w:b/>
          <w:u w:val="single"/>
        </w:rPr>
        <w:t>Title VI: Committee on Environment and Public Works</w:t>
      </w:r>
    </w:p>
    <w:p w:rsidR="002E09B0" w:rsidRDefault="00B10DA1" w:rsidP="00B04196">
      <w:pPr>
        <w:pStyle w:val="ListParagraph"/>
        <w:numPr>
          <w:ilvl w:val="0"/>
          <w:numId w:val="2"/>
        </w:numPr>
      </w:pPr>
      <w:r w:rsidRPr="00A93036">
        <w:rPr>
          <w:b/>
          <w:bCs/>
        </w:rPr>
        <w:t>Air Quality Monitoring and Pollution Clean-up</w:t>
      </w:r>
      <w:r w:rsidRPr="00A93036">
        <w:rPr>
          <w:b/>
        </w:rPr>
        <w:t>:</w:t>
      </w:r>
      <w:r>
        <w:t xml:space="preserve"> </w:t>
      </w:r>
      <w:r w:rsidR="00D33EC2">
        <w:t xml:space="preserve">$100M </w:t>
      </w:r>
      <w:r w:rsidRPr="00B10DA1">
        <w:t>to the Environmental Protection Agency (EPA) in funding to update our national air quality monitoring system and reduce the air and toxic pollution that is linked with contributing to COVID-19 deaths.</w:t>
      </w:r>
    </w:p>
    <w:p w:rsidR="000817FF" w:rsidRPr="00D33EC2" w:rsidRDefault="00D33EC2" w:rsidP="000817FF">
      <w:pPr>
        <w:pStyle w:val="ListParagraph"/>
        <w:numPr>
          <w:ilvl w:val="1"/>
          <w:numId w:val="2"/>
        </w:numPr>
      </w:pPr>
      <w:r>
        <w:t>Half</w:t>
      </w:r>
      <w:r w:rsidR="000817FF">
        <w:t xml:space="preserve"> of which is for grants, contracts, etc</w:t>
      </w:r>
      <w:r w:rsidR="00AC53F9">
        <w:t>.</w:t>
      </w:r>
      <w:r w:rsidR="000817FF">
        <w:t xml:space="preserve"> addressing disproportionate impacts in minority or low income populations under: CAA</w:t>
      </w:r>
      <w:r w:rsidR="000817FF">
        <w:rPr>
          <w:rFonts w:cstheme="minorHAnsi"/>
        </w:rPr>
        <w:t>§103(B), SDWA§1442, CERCLA§104(k)(7)(A), or Energy Policy Act§791-797.</w:t>
      </w:r>
    </w:p>
    <w:p w:rsidR="00D33EC2" w:rsidRDefault="00D33EC2" w:rsidP="000817FF">
      <w:pPr>
        <w:pStyle w:val="ListParagraph"/>
        <w:numPr>
          <w:ilvl w:val="1"/>
          <w:numId w:val="2"/>
        </w:numPr>
      </w:pPr>
      <w:r>
        <w:rPr>
          <w:rFonts w:cstheme="minorHAnsi"/>
        </w:rPr>
        <w:t>Half of which is for grants authorized under CAA§103(a-c) or CAA§105.</w:t>
      </w:r>
    </w:p>
    <w:p w:rsidR="00AC53F9" w:rsidRPr="00657941" w:rsidRDefault="00AC53F9" w:rsidP="00AC53F9">
      <w:pPr>
        <w:pStyle w:val="ListParagraph"/>
        <w:numPr>
          <w:ilvl w:val="0"/>
          <w:numId w:val="2"/>
        </w:numPr>
      </w:pPr>
      <w:r w:rsidRPr="00A93036">
        <w:rPr>
          <w:b/>
        </w:rPr>
        <w:t>Economic Adjustment Assistance:</w:t>
      </w:r>
      <w:r>
        <w:t xml:space="preserve"> The Act provides $750M to the Department of Commerce for </w:t>
      </w:r>
      <w:r w:rsidRPr="00657941">
        <w:t>assistance to States and communities that have suffered economic injury as a result of job and gross domestic product losses in the travel, tourism, or outdoor recreation sectors.</w:t>
      </w:r>
      <w:r>
        <w:t xml:space="preserve"> </w:t>
      </w:r>
    </w:p>
    <w:p w:rsidR="00B04196" w:rsidRDefault="00B04196" w:rsidP="00B04196">
      <w:pPr>
        <w:pStyle w:val="ListParagraph"/>
        <w:numPr>
          <w:ilvl w:val="0"/>
          <w:numId w:val="2"/>
        </w:numPr>
      </w:pPr>
      <w:r w:rsidRPr="00A93036">
        <w:rPr>
          <w:b/>
        </w:rPr>
        <w:t>U.S. Fish and Wildlife Service Funding:</w:t>
      </w:r>
      <w:r>
        <w:t xml:space="preserve"> </w:t>
      </w:r>
      <w:r w:rsidR="00657941">
        <w:t>$30M</w:t>
      </w:r>
      <w:r w:rsidRPr="00B04196">
        <w:t xml:space="preserve"> for the care of captive species protected under the Endangered Species Act or rescued, confiscated or other federal trust species in facilities experiencing lost revenues due to COVID-19</w:t>
      </w:r>
    </w:p>
    <w:p w:rsidR="00B04196" w:rsidRPr="00A93036" w:rsidRDefault="00B04196" w:rsidP="00B04196">
      <w:pPr>
        <w:rPr>
          <w:b/>
          <w:u w:val="single"/>
        </w:rPr>
      </w:pPr>
      <w:r w:rsidRPr="00A93036">
        <w:rPr>
          <w:b/>
          <w:u w:val="single"/>
        </w:rPr>
        <w:t>Title IX: Committee on Finance</w:t>
      </w:r>
    </w:p>
    <w:p w:rsidR="00657941" w:rsidRDefault="00B04196" w:rsidP="00B04196">
      <w:pPr>
        <w:pStyle w:val="ListParagraph"/>
        <w:numPr>
          <w:ilvl w:val="0"/>
          <w:numId w:val="2"/>
        </w:numPr>
      </w:pPr>
      <w:r w:rsidRPr="00A93036">
        <w:rPr>
          <w:b/>
        </w:rPr>
        <w:t xml:space="preserve">State and Local Fiscal Aid: </w:t>
      </w:r>
      <w:r w:rsidR="00657941">
        <w:t xml:space="preserve">The Act provides $195B in aid to state governments to </w:t>
      </w:r>
      <w:r w:rsidR="00657941" w:rsidRPr="00657941">
        <w:t xml:space="preserve">mitigate the fiscal effects stemming from the </w:t>
      </w:r>
      <w:r w:rsidR="00657941">
        <w:t xml:space="preserve">COVID-19 </w:t>
      </w:r>
      <w:r w:rsidR="00657941" w:rsidRPr="00657941">
        <w:t>public health emergency</w:t>
      </w:r>
      <w:r w:rsidR="00657941">
        <w:t>.</w:t>
      </w:r>
    </w:p>
    <w:p w:rsidR="00B04196" w:rsidRDefault="00AC53F9" w:rsidP="00B04196">
      <w:pPr>
        <w:pStyle w:val="ListParagraph"/>
        <w:numPr>
          <w:ilvl w:val="0"/>
          <w:numId w:val="2"/>
        </w:numPr>
      </w:pPr>
      <w:r w:rsidRPr="00A93036">
        <w:rPr>
          <w:b/>
        </w:rPr>
        <w:t>Critical Infrastructure Projects:</w:t>
      </w:r>
      <w:r>
        <w:t xml:space="preserve"> </w:t>
      </w:r>
      <w:r w:rsidR="00657941">
        <w:t>Under the same section, the Act establishes a new</w:t>
      </w:r>
      <w:r w:rsidR="00B04196" w:rsidRPr="002E09B0">
        <w:t xml:space="preserve"> $10 billion Critical Infrastructure Projects program to help States, territories,</w:t>
      </w:r>
      <w:bookmarkStart w:id="0" w:name="_GoBack"/>
      <w:bookmarkEnd w:id="0"/>
      <w:r w:rsidR="00B04196" w:rsidRPr="002E09B0">
        <w:t xml:space="preserve"> and Tribal governments carry out critical capital projects directly enabling work, education, and health monitoring, including remote options, in response to COVID-19.</w:t>
      </w:r>
      <w:r w:rsidR="00B04196">
        <w:t xml:space="preserve"> </w:t>
      </w:r>
      <w:r w:rsidR="00B04196" w:rsidRPr="00B04196">
        <w:t>State and local fiscal relief funds can be used for local economic recovery purposes, including assistance to households, small businesses and nonprofits, assistance to hard-hit industries like tourism, travel, and hospitality, and infrastructure investment.</w:t>
      </w:r>
    </w:p>
    <w:p w:rsidR="00B10DA1" w:rsidRPr="00A93036" w:rsidRDefault="00B37D12" w:rsidP="00B10DA1">
      <w:pPr>
        <w:rPr>
          <w:b/>
          <w:u w:val="single"/>
        </w:rPr>
      </w:pPr>
      <w:r w:rsidRPr="00A93036">
        <w:rPr>
          <w:b/>
          <w:u w:val="single"/>
        </w:rPr>
        <w:t>Title II: Committee on Health, Education, Labor, and Pensions</w:t>
      </w:r>
    </w:p>
    <w:p w:rsidR="00B37D12" w:rsidRDefault="00B37D12" w:rsidP="00B37D12">
      <w:pPr>
        <w:pStyle w:val="ListParagraph"/>
        <w:numPr>
          <w:ilvl w:val="0"/>
          <w:numId w:val="2"/>
        </w:numPr>
      </w:pPr>
      <w:r w:rsidRPr="00A93036">
        <w:rPr>
          <w:b/>
        </w:rPr>
        <w:t>Public Health Workforce:</w:t>
      </w:r>
      <w:r w:rsidR="00210B66">
        <w:t xml:space="preserve"> The Act provides</w:t>
      </w:r>
      <w:r>
        <w:t xml:space="preserve"> </w:t>
      </w:r>
      <w:r w:rsidRPr="00B37D12">
        <w:t xml:space="preserve">$7,660,000,000, </w:t>
      </w:r>
      <w:r>
        <w:t xml:space="preserve">to sustain </w:t>
      </w:r>
      <w:r w:rsidRPr="00B37D12">
        <w:t>a public health workforce, including by making awards to State, local, and territorial public health departments</w:t>
      </w:r>
      <w:r>
        <w:t>.</w:t>
      </w:r>
    </w:p>
    <w:p w:rsidR="0028587C" w:rsidRDefault="00153BD4" w:rsidP="00A93036">
      <w:pPr>
        <w:pStyle w:val="ListParagraph"/>
        <w:numPr>
          <w:ilvl w:val="0"/>
          <w:numId w:val="2"/>
        </w:numPr>
      </w:pPr>
      <w:r w:rsidRPr="00A93036">
        <w:rPr>
          <w:b/>
        </w:rPr>
        <w:t>LIHEAP and Water Utility Bill Assistance:</w:t>
      </w:r>
      <w:r>
        <w:t xml:space="preserve"> $4.5 billion for the Low Income Home Energy Assistance Program (LIHEAP), and $500 million for low-income water assistance.</w:t>
      </w:r>
    </w:p>
    <w:sectPr w:rsidR="0028587C" w:rsidSect="00A9303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BC" w:rsidRDefault="003B58BC" w:rsidP="00AC53F9">
      <w:pPr>
        <w:spacing w:after="0" w:line="240" w:lineRule="auto"/>
      </w:pPr>
      <w:r>
        <w:separator/>
      </w:r>
    </w:p>
  </w:endnote>
  <w:endnote w:type="continuationSeparator" w:id="0">
    <w:p w:rsidR="003B58BC" w:rsidRDefault="003B58BC" w:rsidP="00AC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BC" w:rsidRDefault="003B58BC" w:rsidP="00AC53F9">
      <w:pPr>
        <w:spacing w:after="0" w:line="240" w:lineRule="auto"/>
      </w:pPr>
      <w:r>
        <w:separator/>
      </w:r>
    </w:p>
  </w:footnote>
  <w:footnote w:type="continuationSeparator" w:id="0">
    <w:p w:rsidR="003B58BC" w:rsidRDefault="003B58BC" w:rsidP="00AC53F9">
      <w:pPr>
        <w:spacing w:after="0" w:line="240" w:lineRule="auto"/>
      </w:pPr>
      <w:r>
        <w:continuationSeparator/>
      </w:r>
    </w:p>
  </w:footnote>
  <w:footnote w:id="1">
    <w:p w:rsidR="00AC53F9" w:rsidRPr="00A93036" w:rsidRDefault="00AC53F9" w:rsidP="00A93036">
      <w:pPr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93036">
        <w:rPr>
          <w:sz w:val="18"/>
          <w:szCs w:val="18"/>
        </w:rPr>
        <w:t>Not all of this amount has been obligated as of this writing.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602"/>
    <w:multiLevelType w:val="hybridMultilevel"/>
    <w:tmpl w:val="BCAE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4FB4"/>
    <w:multiLevelType w:val="hybridMultilevel"/>
    <w:tmpl w:val="8C367308"/>
    <w:lvl w:ilvl="0" w:tplc="08366A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AE"/>
    <w:rsid w:val="000015DA"/>
    <w:rsid w:val="000201CD"/>
    <w:rsid w:val="000817FF"/>
    <w:rsid w:val="00153BD4"/>
    <w:rsid w:val="00192441"/>
    <w:rsid w:val="001A3BBF"/>
    <w:rsid w:val="00210B66"/>
    <w:rsid w:val="00221BC7"/>
    <w:rsid w:val="0028587C"/>
    <w:rsid w:val="002E09B0"/>
    <w:rsid w:val="00335877"/>
    <w:rsid w:val="00384967"/>
    <w:rsid w:val="003B58BC"/>
    <w:rsid w:val="00555FFE"/>
    <w:rsid w:val="00657941"/>
    <w:rsid w:val="00677CAE"/>
    <w:rsid w:val="009A1757"/>
    <w:rsid w:val="00A550D7"/>
    <w:rsid w:val="00A93036"/>
    <w:rsid w:val="00AB13C7"/>
    <w:rsid w:val="00AC53F9"/>
    <w:rsid w:val="00B04196"/>
    <w:rsid w:val="00B10DA1"/>
    <w:rsid w:val="00B37D12"/>
    <w:rsid w:val="00D33EC2"/>
    <w:rsid w:val="00D736DE"/>
    <w:rsid w:val="00F92E9E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535C"/>
  <w15:chartTrackingRefBased/>
  <w15:docId w15:val="{CBE65176-DB48-4F13-81CB-0C49E32C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5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3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E6B2-6631-450D-88DB-549C8C0B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McAleer</dc:creator>
  <cp:keywords/>
  <dc:description/>
  <cp:lastModifiedBy>Owen McAleer</cp:lastModifiedBy>
  <cp:revision>3</cp:revision>
  <dcterms:created xsi:type="dcterms:W3CDTF">2021-03-22T18:57:00Z</dcterms:created>
  <dcterms:modified xsi:type="dcterms:W3CDTF">2021-03-22T18:57:00Z</dcterms:modified>
</cp:coreProperties>
</file>